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0"/>
        <w:jc w:val="center"/>
      </w:pPr>
      <w:r>
        <w:rPr>
          <w:b/>
          <w:sz w:val="40"/>
        </w:rPr>
        <w:t>數位發展部　函</w:t>
      </w:r>
    </w:p>
    <w:p>
      <w:pPr>
        <w:spacing w:line="360" w:lineRule="auto" w:after="0"/>
      </w:pPr>
      <w:r>
        <w:t>檔號：</w:t>
      </w:r>
    </w:p>
    <w:p>
      <w:pPr>
        <w:spacing w:line="360" w:lineRule="auto" w:after="0"/>
      </w:pPr>
      <w:r>
        <w:t>保存年限：</w:t>
      </w:r>
    </w:p>
    <w:p>
      <w:pPr>
        <w:spacing w:line="360" w:lineRule="auto" w:after="0"/>
      </w:pPr>
      <w:r>
        <w:t>地址：10066臺北市中正區延平南路143號</w:t>
      </w:r>
    </w:p>
    <w:p>
      <w:pPr>
        <w:spacing w:line="360" w:lineRule="auto" w:after="0"/>
      </w:pPr>
      <w:r>
        <w:t>聯絡人：（原件已遮蔽）</w:t>
      </w:r>
    </w:p>
    <w:p>
      <w:pPr>
        <w:spacing w:line="360" w:lineRule="auto" w:after="0"/>
      </w:pPr>
      <w:r>
        <w:t>電話：（原件已遮蔽）</w:t>
      </w:r>
    </w:p>
    <w:p>
      <w:pPr>
        <w:spacing w:line="360" w:lineRule="auto" w:after="0"/>
      </w:pPr>
      <w:r>
        <w:t>電子郵件：（原件已遮蔽）</w:t>
      </w:r>
    </w:p>
    <w:p>
      <w:pPr>
        <w:spacing w:line="360" w:lineRule="auto" w:after="0"/>
      </w:pPr>
    </w:p>
    <w:p>
      <w:pPr>
        <w:spacing w:line="360" w:lineRule="auto" w:after="0"/>
      </w:pPr>
      <w:r>
        <w:t>受文者：卡米爾股份有限公司</w:t>
      </w:r>
    </w:p>
    <w:p>
      <w:pPr>
        <w:spacing w:line="360" w:lineRule="auto" w:after="0"/>
      </w:pPr>
    </w:p>
    <w:p>
      <w:pPr>
        <w:spacing w:line="360" w:lineRule="auto" w:after="0"/>
      </w:pPr>
      <w:r>
        <w:t>發文日期：中華民國114年10月29日</w:t>
      </w:r>
    </w:p>
    <w:p>
      <w:pPr>
        <w:spacing w:line="360" w:lineRule="auto" w:after="0"/>
      </w:pPr>
      <w:r>
        <w:t>發文字號：數位政府決字第1144002013號</w:t>
      </w:r>
    </w:p>
    <w:p>
      <w:pPr>
        <w:spacing w:line="360" w:lineRule="auto" w:after="0"/>
      </w:pPr>
      <w:r>
        <w:t>速別：普通件</w:t>
      </w:r>
    </w:p>
    <w:p>
      <w:pPr>
        <w:spacing w:line="360" w:lineRule="auto" w:after="0"/>
      </w:pPr>
      <w:r>
        <w:t>密等及解密條件或保密期限：</w:t>
      </w:r>
    </w:p>
    <w:p>
      <w:pPr>
        <w:spacing w:line="360" w:lineRule="auto" w:after="0"/>
      </w:pPr>
      <w:r>
        <w:t>附件：教育訓練簡章（400201333_2_教育訓練簡章v2_33.pdf）</w:t>
      </w:r>
    </w:p>
    <w:p>
      <w:pPr>
        <w:spacing w:line="360" w:lineRule="auto" w:after="0"/>
      </w:pPr>
    </w:p>
    <w:p>
      <w:pPr>
        <w:spacing w:line="360" w:lineRule="auto" w:after="0"/>
      </w:pPr>
      <w:r>
        <w:t>主旨：本部辦理「政府AI應用實驗站(TryAI)」教育訓練，敬請貴機關派員參訓，請查照。</w:t>
      </w:r>
    </w:p>
    <w:p>
      <w:pPr>
        <w:spacing w:line="360" w:lineRule="auto" w:after="0"/>
      </w:pPr>
    </w:p>
    <w:p>
      <w:pPr>
        <w:spacing w:line="360" w:lineRule="auto" w:after="0"/>
      </w:pPr>
      <w:r>
        <w:t>說明：</w:t>
      </w:r>
    </w:p>
    <w:p>
      <w:pPr>
        <w:spacing w:line="360" w:lineRule="auto" w:after="0"/>
      </w:pPr>
      <w:r>
        <w:t>一、本部「政府AI應用實驗站」提供多種大型語言模型及AI Bots，協助各機關同仁瞭解各大型語言模型特性，並學習運用AI提升日常工作效率。</w:t>
      </w:r>
    </w:p>
    <w:p>
      <w:pPr>
        <w:spacing w:line="360" w:lineRule="auto" w:after="0"/>
      </w:pPr>
      <w:r>
        <w:t>二、為培育機關同仁之AI基礎素養，使其具備大型語言模型提示工程撰寫與AI Bots訓練之能力，且有效運用AI Bots增進日常工作效率，同時瞭解人工智慧發展趨勢，例如模型上下文協定（Model Context Protocol）、跨機關AI Agent協作機制等，並培養機關同仁成為種子教師，爰辦理旨揭教育訓練。</w:t>
      </w:r>
    </w:p>
    <w:p>
      <w:pPr>
        <w:spacing w:line="360" w:lineRule="auto" w:after="0"/>
      </w:pPr>
      <w:r>
        <w:t>三、旨揭教育訓練摘述如下（詳附件教育訓練簡章）：</w:t>
      </w:r>
    </w:p>
    <w:p>
      <w:pPr>
        <w:spacing w:line="360" w:lineRule="auto" w:after="0"/>
      </w:pPr>
      <w:r>
        <w:t>（一）時間與場次：自民國114年11月13日至115年4月21日，共計五場次，每場參訓人數各為60人。</w:t>
      </w:r>
    </w:p>
    <w:p>
      <w:pPr>
        <w:spacing w:line="360" w:lineRule="auto" w:after="0"/>
      </w:pPr>
      <w:r>
        <w:t>（二）參訓對象：以旨揭實驗站使用機關所屬同仁，且其未來可擔任機關種子教師者為優先參訓對象。每機關每場次</w:t>
      </w:r>
    </w:p>
    <w:p>
      <w:pPr>
        <w:spacing w:line="360" w:lineRule="auto" w:after="0"/>
      </w:pPr>
    </w:p>
    <w:p>
      <w:pPr>
        <w:spacing w:line="360" w:lineRule="auto" w:after="0"/>
      </w:pPr>
      <w:r>
        <w:t>第 1 頁，共 2 頁</w:t>
      </w:r>
    </w:p>
    <w:p>
      <w:pPr>
        <w:spacing w:line="360" w:lineRule="auto" w:after="0"/>
      </w:pPr>
    </w:p>
    <w:p>
      <w:pPr>
        <w:spacing w:line="360" w:lineRule="auto" w:after="0"/>
      </w:pPr>
      <w:r>
        <w:rPr>
          <w:i/>
          <w:sz w:val="20"/>
        </w:rPr>
        <w:t>（附註：原始 PDF 檔僅含第 1 頁，第 2 頁未收錄，故說明三（二）於「每機關每場次」處中斷。）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MingLiU" w:hAnsi="PMingLiU" w:eastAsia="PMingLiU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